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jc w:val="center"/>
        <w:rPr/>
      </w:pPr>
      <w:r>
        <w:rPr>
          <w:rFonts w:eastAsia="Times New Roman" w:cs="Times New Roman" w:ascii="Times New Roman" w:hAnsi="Times New Roman"/>
          <w:b/>
        </w:rPr>
        <w:t>Табела 5.2.</w:t>
      </w:r>
      <w:r>
        <w:rPr>
          <w:rFonts w:eastAsia="Times New Roman" w:cs="Times New Roman" w:ascii="Times New Roman" w:hAnsi="Times New Roman"/>
        </w:rPr>
        <w:t xml:space="preserve"> Спецификација предмета </w:t>
      </w:r>
      <w:r>
        <w:rPr>
          <w:rFonts w:eastAsia="Times New Roman" w:cs="Times New Roman" w:ascii="Times New Roman" w:hAnsi="Times New Roman"/>
          <w:b/>
          <w:i/>
        </w:rPr>
        <w:t>Антика и хришћанство: континуитет и дисконтинуитет</w:t>
      </w:r>
    </w:p>
    <w:tbl>
      <w:tblPr>
        <w:tblW w:w="10776" w:type="dxa"/>
        <w:jc w:val="left"/>
        <w:tblInd w:w="-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68"/>
        <w:gridCol w:w="1944"/>
        <w:gridCol w:w="1164"/>
        <w:gridCol w:w="2016"/>
        <w:gridCol w:w="1883"/>
      </w:tblGrid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Студијски програм: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МАС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античка култура и класично наслеђе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i/>
                <w:i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Назив предмета:</w:t>
            </w:r>
            <w:r>
              <w:rPr>
                <w:rFonts w:eastAsia="Times New Roman" w:cs="Times New Roman"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Антика и хришћанство: континуитет или дисконтинуитет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Наставник/наставници: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проф. др Војин Недељковић, проф. др Петар Јевремовић, проф. др Ненад Ристовић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Статус предмета: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изборан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  <w:lang w:val="sr-RS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Број ЕСПБ: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5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Циљ предмета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Упознавање са хришћанством као религијом и културном традицијом насталом у оквиру античког света и у односу према њему; компаративно сагледавање феномена који повезују и раздвајају хришћанство и цивилизацију у којој се оно обликовало и коју је преобликовало.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Исход предмета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Стицање специфичних увида у културну историју античког хришћанства и оспособљеност да се она сагледава као интегрални део античког света и као пресудни чинилац како његове трансформације тако и очувања и ширења његовог наслеђа.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Садржај предмета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Теоријска настава.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>1.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Културноисторијски оквир: античке традиције и актуелне прилике битне за разумевање појаве и развоја хришћанства; Оријент и хеленско-римски свет. Модерна критика (Гибон, Ниче), „тамне стране” античког хришћанства и осцилације у научним ставовима о односу хришћанства и античког света.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>2.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Интеракција хришћанства са филозофијом и интелектуалним традицијама антике. Доктринарни спорови.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>3.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Заједничка духовна полазишта и стремљења („свети човек”, „култивисање душе”) и нове духовне тенденције. Аскетизам и тело.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>4.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Појам личности у раном хришћанству.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5.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Хришћанство и политички процеси у касној антици. Духовност и моћ.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6.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Хришћанство и културни процеси у касној антици. Антички концепт образовања у хришћанству; paideia као идеал у новом формату (propaideia).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 7.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Реторичка култура и књижевни утицаји; усвајање античких литерарних конвенција; раздвајање форме од садржине у хришћанском читању и тумачењу античке књиге.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8.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Социјални аспект ширења и преваге хришћанства.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—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9.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Imperium sine fine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Civitas Dei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: питање (дис)континуитета. —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>10.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Где престаје античко хришћанство? —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 11.</w:t>
            </w: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Питање етничког, културног и верског идентитета на измаку антике: „Римљанин“, „Јелин“, „Јеврејин“, „варварин“. —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0"/>
                <w:szCs w:val="20"/>
              </w:rPr>
              <w:t xml:space="preserve"> 12.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Улога хришћанства за чување античког наслеђа у европској култури (класично школство, хришћански хуманизам).</w:t>
            </w:r>
          </w:p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Практична настава.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Теоријски део наставног програма практично се демонстрира на одабраном материјалу из текстуалних извора у српском преводу; на истоме се увежбавају методе анализе и интерпретације.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b/>
                <w:bCs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Литература</w:t>
            </w:r>
          </w:p>
          <w:p>
            <w:pPr>
              <w:pStyle w:val="LO-normal"/>
              <w:widowControl w:val="false"/>
              <w:spacing w:before="0" w:after="40"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P. Brown,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Society and the Holy in Late Antiquity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, University of California Press, 1989, 103–206. 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H. Chadwick,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The Church in Ancient Society: From Galilee to Gregory the Great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2001, 295–313.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W. Jaeger,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Early Christianity and Greek Paideia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Cambridge, Mass, 1961, 3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–102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на српском: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 xml:space="preserve">V. Jeger,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Latn-RS"/>
              </w:rPr>
              <w:t>Rano hrišćanstvo i grčka paideja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>, Beograd: Službeni glasnik, 2007)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 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L. T. Johnson,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Among the Gentiles: Greco-Roman Religion and Christianity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 Yale UP, 2009, 130–256.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P. Veyne, 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>When Our World Became Christian 312–394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Malden, 2010, 46–149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(на српском: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 xml:space="preserve">P. Ven,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</w:rPr>
              <w:t>Kada je naš svet postao hrišćanski (312-394)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Latn-RS"/>
              </w:rPr>
              <w:t>, Novi Sad: Mediterran Publishing, 2014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).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/>
              </w:rPr>
              <w:t xml:space="preserve">—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Џ. Макманерс (прир.), </w:t>
            </w:r>
            <w:r>
              <w:rPr>
                <w:rFonts w:eastAsia="Times New Roman" w:cs="Times New Roman" w:ascii="Times New Roman" w:hAnsi="Times New Roman"/>
                <w:i/>
                <w:iCs/>
                <w:sz w:val="20"/>
                <w:szCs w:val="20"/>
                <w:lang w:val="sr-RS"/>
              </w:rPr>
              <w:t>Оксфордска историја хришћанства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, Београд: Клио,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vertAlign w:val="superscript"/>
                <w:lang w:val="sr-RS"/>
              </w:rPr>
              <w:t>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 xml:space="preserve">2023,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en-US"/>
              </w:rPr>
              <w:t>70–95.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Број часова активне наставе</w:t>
            </w:r>
          </w:p>
        </w:tc>
        <w:tc>
          <w:tcPr>
            <w:tcW w:w="3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Теоријска настава: 30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настава: 30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Методе извођења наставе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усмено излагање, рад на тексту, реферисање и разговор на задату тему.</w:t>
            </w:r>
          </w:p>
        </w:tc>
      </w:tr>
      <w:tr>
        <w:trPr>
          <w:trHeight w:val="227" w:hRule="atLeast"/>
        </w:trPr>
        <w:tc>
          <w:tcPr>
            <w:tcW w:w="107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Оцена знања (максимални број поена 100)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Предиспитне обавезе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Завршни испит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поена</w:t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писмени испит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практична настава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усмени испит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O-normal"/>
              <w:widowControl w:val="false"/>
              <w:tabs>
                <w:tab w:val="clear" w:pos="720"/>
                <w:tab w:val="left" w:pos="567" w:leader="none"/>
              </w:tabs>
              <w:spacing w:before="0" w:after="6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70</w:t>
            </w:r>
          </w:p>
        </w:tc>
      </w:tr>
    </w:tbl>
    <w:p>
      <w:pPr>
        <w:pStyle w:val="LO-normal"/>
        <w:rPr/>
      </w:pPr>
      <w:r>
        <w:rPr/>
      </w:r>
    </w:p>
    <w:sectPr>
      <w:type w:val="nextPage"/>
      <w:pgSz w:w="11906" w:h="16838"/>
      <w:pgMar w:left="567" w:right="567" w:gutter="0" w:header="0" w:top="567" w:footer="0" w:bottom="56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sr-R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Heading1">
    <w:name w:val="Heading 1"/>
    <w:basedOn w:val="LO-normal"/>
    <w:next w:val="LO-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LO-normal"/>
    <w:next w:val="LO-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O-normal" w:customStyle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sr-RS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LibreOffice/7.5.6.2$Windows_X86_64 LibreOffice_project/f654817fb68d6d4600d7d2f6b647e47729f55f15</Application>
  <AppVersion>15.0000</AppVersion>
  <Pages>1</Pages>
  <Words>483</Words>
  <Characters>3000</Characters>
  <CharactersWithSpaces>3463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2022-02-08T11:12:00Z</dcterms:created>
  <dc:creator/>
  <dc:description/>
  <dc:language>en-GB</dc:language>
  <cp:lastModifiedBy/>
  <dcterms:modified xsi:type="dcterms:W3CDTF">2024-01-23T12:14:34Z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