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C8D" w:rsidRDefault="00180778">
      <w:pPr>
        <w:pStyle w:val="LO-normal"/>
        <w:jc w:val="center"/>
      </w:pPr>
      <w:r>
        <w:rPr>
          <w:rFonts w:ascii="Times New Roman" w:eastAsia="Times New Roman" w:hAnsi="Times New Roman" w:cs="Times New Roman"/>
        </w:rPr>
        <w:t xml:space="preserve">Спецификација предмета </w:t>
      </w:r>
      <w:r>
        <w:rPr>
          <w:rFonts w:ascii="Times New Roman" w:eastAsia="Times New Roman" w:hAnsi="Times New Roman" w:cs="Times New Roman"/>
          <w:b/>
          <w:i/>
        </w:rPr>
        <w:t>Религије у антици</w:t>
      </w:r>
    </w:p>
    <w:tbl>
      <w:tblPr>
        <w:tblW w:w="10752" w:type="dxa"/>
        <w:tblInd w:w="-3" w:type="dxa"/>
        <w:tblLook w:val="0000" w:firstRow="0" w:lastRow="0" w:firstColumn="0" w:lastColumn="0" w:noHBand="0" w:noVBand="0"/>
      </w:tblPr>
      <w:tblGrid>
        <w:gridCol w:w="3768"/>
        <w:gridCol w:w="1944"/>
        <w:gridCol w:w="1164"/>
        <w:gridCol w:w="2016"/>
        <w:gridCol w:w="1860"/>
      </w:tblGrid>
      <w:tr w:rsidR="008F1C8D">
        <w:trPr>
          <w:trHeight w:val="227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Pr="00A577CB" w:rsidRDefault="00180778" w:rsidP="00A577CB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Студијски програм: </w:t>
            </w:r>
            <w:r w:rsidR="00A577C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МАС </w:t>
            </w:r>
            <w:r w:rsidR="00A577CB" w:rsidRPr="00A577C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античка култура и класично наслеђе</w:t>
            </w:r>
          </w:p>
        </w:tc>
      </w:tr>
      <w:tr w:rsidR="008F1C8D">
        <w:trPr>
          <w:trHeight w:val="227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Религије у антици</w:t>
            </w:r>
          </w:p>
        </w:tc>
      </w:tr>
      <w:tr w:rsidR="008F1C8D">
        <w:trPr>
          <w:trHeight w:val="227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 w:rsidP="0037156B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Наставник/наставници: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проф. др Александар Лома, </w:t>
            </w:r>
            <w:r w:rsidR="0037156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др Сандра Шћепановић, </w:t>
            </w:r>
            <w:r w:rsidR="00811AA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асист.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мср Исидора Толић</w:t>
            </w:r>
          </w:p>
        </w:tc>
      </w:tr>
      <w:tr w:rsidR="008F1C8D">
        <w:trPr>
          <w:trHeight w:val="227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изборни </w:t>
            </w:r>
          </w:p>
        </w:tc>
      </w:tr>
      <w:tr w:rsidR="008F1C8D">
        <w:trPr>
          <w:trHeight w:val="227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Pr="00887488" w:rsidRDefault="0018077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Број ЕСПБ: </w:t>
            </w:r>
            <w:r w:rsidR="0088748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</w:tr>
      <w:tr w:rsidR="008F1C8D">
        <w:trPr>
          <w:trHeight w:val="227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Циљ предмета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Упознавање са општим одликама и основним садржајима религија класичног света, грчке и римске, са њиховим културноисторијским значајем и са основним методолошким приступима њиховом изучавању.  </w:t>
            </w:r>
          </w:p>
        </w:tc>
      </w:tr>
      <w:tr w:rsidR="008F1C8D">
        <w:trPr>
          <w:trHeight w:val="227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Исход предмета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Оспособљавање полазника за даље бављење историјом религија (предмет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Упоредна историја религија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докторским студијама) и/ли уградња стечених знања у стручна усмерења повезана са класичном антиком (античка књижевност, филозофија, археологија, историја уметности, историја Старог века, етнологија/антропологија и др.)</w:t>
            </w:r>
          </w:p>
        </w:tc>
      </w:tr>
      <w:tr w:rsidR="008F1C8D">
        <w:trPr>
          <w:trHeight w:val="227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Садржај предмета</w:t>
            </w:r>
          </w:p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Теоријска настава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По недељама: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Стара Грчка – историјски увод. Извори за грчку религију и преглед њених главних развојних токова.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Хомер и Хесиод: традиција и почеци њених филозофских преиспитивања.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Митска историја света и човечанства. Смене трију генерација богова и пет људских нараштаја. —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Небо и Земља као примордијални пар и обред свештене свадбе. Зевс, Хера, Деметра, Посејдон.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Хад и Персефона, различите локације онога света.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Хефест, Аполон, Хестија; Афродита као случај раног религијског синкретизма.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7.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Култ хероја; Херакле и његова апотеоза.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Рим – историјски увод. Извори за римску религију.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Страни (етрурски, грчки) утицаји у домену теолошких структура и митологије. —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Римска обредност и њен конзервативни карактер.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Митско наслеђе у историјским традицијама о почецима Рима. 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Митраизам и други позни синкретистички култови царског доба.   </w:t>
            </w:r>
          </w:p>
          <w:p w:rsidR="008F1C8D" w:rsidRDefault="00180778">
            <w:pPr>
              <w:pStyle w:val="LO-normal"/>
              <w:tabs>
                <w:tab w:val="left" w:pos="567"/>
              </w:tabs>
              <w:spacing w:before="20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Практична настава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Читање и коментарисање текстова (Хомер, Хесиод, Херодот, Платон, Аристотел,  Плутарх, Паусанија итд.; Катон, Цицерон, Овидије, Вергилије, Ливије итд.) у вези са темама теоријских методских јединица. Вежбе се одржавају на српском језику, уз истицање и коментарисање кључних грчких и латинских термина.</w:t>
            </w:r>
          </w:p>
        </w:tc>
      </w:tr>
      <w:tr w:rsidR="008F1C8D">
        <w:trPr>
          <w:trHeight w:val="227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Литература </w:t>
            </w:r>
          </w:p>
          <w:p w:rsidR="008F1C8D" w:rsidRDefault="00180778">
            <w:pPr>
              <w:pStyle w:val="LO-normal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Општа обавезна литература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:rsidR="008F1C8D" w:rsidRPr="00717060" w:rsidRDefault="00180778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А. Лома, скрипта из грчке и римске религије (општи преглед, избор коментарисаних текстова у 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</w:rPr>
              <w:t>властитом преводу, илустрације)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(стр. 3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48)</w:t>
            </w:r>
          </w:p>
          <w:p w:rsidR="00784543" w:rsidRPr="00552E6D" w:rsidRDefault="00180778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Исти: Мали илустровани речник појмова из историје религија 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552E6D">
              <w:rPr>
                <w:rFonts w:ascii="Times New Roman" w:eastAsia="Times New Roman" w:hAnsi="Times New Roman" w:cs="Times New Roman"/>
                <w:sz w:val="20"/>
                <w:szCs w:val="20"/>
              </w:rPr>
              <w:t>део I</w:t>
            </w:r>
            <w:r w:rsidR="00552E6D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стр. </w:t>
            </w:r>
            <w:r w:rsidR="00552E6D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552E6D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552E6D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део </w:t>
            </w:r>
            <w:r w:rsidR="00552E6D"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  <w:r w:rsidR="00552E6D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стр. 1</w:t>
            </w:r>
            <w:r w:rsidR="00552E6D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552E6D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  <w:p w:rsidR="008F1C8D" w:rsidRPr="00717060" w:rsidRDefault="00180778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Lindsay Jones (ed.), Encyclopedia of Religion, Thomson Gale 2005. 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(стр. 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</w:rPr>
              <w:t>1–15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  <w:p w:rsidR="008F1C8D" w:rsidRPr="00B36A27" w:rsidRDefault="00180778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Walter Burkert, Greek Religion, Harvard 1985 </w:t>
            </w:r>
            <w:r w:rsidR="00B36A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(стр. 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="00B36A27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B36A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  <w:r w:rsidR="00B36A27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54</w:t>
            </w:r>
            <w:r w:rsidR="00B36A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64</w:t>
            </w:r>
            <w:r w:rsidR="00B36A27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66; 70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75; 108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169; 182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211; 285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300; 317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71706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331</w:t>
            </w:r>
            <w:r w:rsidR="00B36A2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8F1C8D" w:rsidRPr="00B36A27" w:rsidRDefault="00180778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Жорж Димезил, Древна римска религија, Сремски Карловци / Нови Сад 1997 </w:t>
            </w:r>
            <w:r w:rsidR="00B36A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(стр. </w:t>
            </w:r>
            <w:r w:rsidR="00B36A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19</w:t>
            </w:r>
            <w:r w:rsidR="00B36A27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B36A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120; 316</w:t>
            </w:r>
            <w:r w:rsidR="00B36A27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B36A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344; 376</w:t>
            </w:r>
            <w:r w:rsidR="00B36A27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B36A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381</w:t>
            </w:r>
            <w:r w:rsidR="00B36A2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8F1C8D" w:rsidRDefault="00180778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Е. Бенвенист, Речник индоевропских установа, Ср. Карловци / Н. Сад 2002. (део II, књ. 3: Ре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лигија, стр. 371–441)</w:t>
            </w:r>
          </w:p>
          <w:p w:rsidR="008F1C8D" w:rsidRDefault="00180778">
            <w:pPr>
              <w:pStyle w:val="LO-normal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Општа допунска литература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:rsidR="008F1C8D" w:rsidRDefault="00180778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L. Edmunds (ed.), Approaches to Greek Myth, Baltimore/London 1990 </w:t>
            </w:r>
          </w:p>
          <w:p w:rsidR="008F1C8D" w:rsidRDefault="00180778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Gregory Nagy, Greek Mythology and Poetics, Ithaca/London 1990 </w:t>
            </w:r>
          </w:p>
          <w:p w:rsidR="008F1C8D" w:rsidRDefault="00180778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James Hastings (ed.), The Encyclopaedia of Religion and Ethics I–XII, 1908–1927 </w:t>
            </w:r>
          </w:p>
          <w:p w:rsidR="008F1C8D" w:rsidRDefault="00180778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Lewis Richard Farnell, The Cults of the Greek States, I–V 1896–1909 </w:t>
            </w:r>
          </w:p>
          <w:p w:rsidR="008F1C8D" w:rsidRDefault="00180778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Fabio Mora, Religione e religioni nelle storie di Erodoto, Milano 1986 </w:t>
            </w:r>
          </w:p>
        </w:tc>
      </w:tr>
      <w:tr w:rsidR="008F1C8D">
        <w:trPr>
          <w:trHeight w:val="227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Број часова  активне наставе</w:t>
            </w:r>
          </w:p>
        </w:tc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8F1C8D">
        <w:trPr>
          <w:trHeight w:val="227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Методе извођења наставе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Предавања и вежбе</w:t>
            </w:r>
          </w:p>
        </w:tc>
      </w:tr>
      <w:tr w:rsidR="008F1C8D">
        <w:trPr>
          <w:trHeight w:val="227"/>
        </w:trPr>
        <w:tc>
          <w:tcPr>
            <w:tcW w:w="10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8F1C8D" w:rsidTr="00180778">
        <w:trPr>
          <w:trHeight w:val="377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поена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поена</w:t>
            </w:r>
          </w:p>
        </w:tc>
      </w:tr>
      <w:tr w:rsidR="008F1C8D">
        <w:trPr>
          <w:trHeight w:val="227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 учешће у вежбањима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Pr="00180778" w:rsidRDefault="00180778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Default="0018077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усмени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испит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8D" w:rsidRPr="00180778" w:rsidRDefault="00180778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70</w:t>
            </w:r>
          </w:p>
        </w:tc>
      </w:tr>
    </w:tbl>
    <w:p w:rsidR="008F1C8D" w:rsidRDefault="008F1C8D">
      <w:pPr>
        <w:pStyle w:val="LO-normal"/>
      </w:pPr>
    </w:p>
    <w:sectPr w:rsidR="008F1C8D">
      <w:pgSz w:w="11906" w:h="16838"/>
      <w:pgMar w:top="567" w:right="567" w:bottom="567" w:left="567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</w:compat>
  <w:rsids>
    <w:rsidRoot w:val="008F1C8D"/>
    <w:rsid w:val="0012761B"/>
    <w:rsid w:val="00180778"/>
    <w:rsid w:val="0037156B"/>
    <w:rsid w:val="00552E6D"/>
    <w:rsid w:val="00717060"/>
    <w:rsid w:val="00757682"/>
    <w:rsid w:val="00784543"/>
    <w:rsid w:val="00811AAE"/>
    <w:rsid w:val="00887488"/>
    <w:rsid w:val="008F1C8D"/>
    <w:rsid w:val="00A577CB"/>
    <w:rsid w:val="00B3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rFonts w:ascii="Cambria" w:eastAsia="Cambria" w:hAnsi="Cambria" w:cs="Cambria"/>
      <w:b/>
      <w:sz w:val="29"/>
      <w:szCs w:val="29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rFonts w:ascii="Cambria" w:eastAsia="Cambria" w:hAnsi="Cambria" w:cs="Cambria"/>
      <w:b/>
      <w:i/>
      <w:sz w:val="25"/>
      <w:szCs w:val="25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rFonts w:ascii="Cambria" w:eastAsia="Cambria" w:hAnsi="Cambria" w:cs="Cambria"/>
      <w:b/>
      <w:sz w:val="23"/>
      <w:szCs w:val="23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5"/>
      <w:szCs w:val="25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i/>
      <w:sz w:val="23"/>
      <w:szCs w:val="23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rFonts w:ascii="Cambria" w:eastAsia="Cambria" w:hAnsi="Cambria" w:cs="Cambria"/>
      <w:b/>
      <w:sz w:val="29"/>
      <w:szCs w:val="29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Cambria" w:eastAsia="Cambria" w:hAnsi="Cambria" w:cs="Cambria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rFonts w:ascii="Cambria" w:eastAsia="Cambria" w:hAnsi="Cambria" w:cs="Cambria"/>
      <w:b/>
      <w:sz w:val="29"/>
      <w:szCs w:val="29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rFonts w:ascii="Cambria" w:eastAsia="Cambria" w:hAnsi="Cambria" w:cs="Cambria"/>
      <w:b/>
      <w:i/>
      <w:sz w:val="25"/>
      <w:szCs w:val="25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rFonts w:ascii="Cambria" w:eastAsia="Cambria" w:hAnsi="Cambria" w:cs="Cambria"/>
      <w:b/>
      <w:sz w:val="23"/>
      <w:szCs w:val="23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5"/>
      <w:szCs w:val="25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i/>
      <w:sz w:val="23"/>
      <w:szCs w:val="23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rFonts w:ascii="Cambria" w:eastAsia="Cambria" w:hAnsi="Cambria" w:cs="Cambria"/>
      <w:b/>
      <w:sz w:val="29"/>
      <w:szCs w:val="29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Cambria" w:eastAsia="Cambria" w:hAnsi="Cambria" w:cs="Cambr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Reviewer 1</cp:lastModifiedBy>
  <cp:revision>11</cp:revision>
  <dcterms:created xsi:type="dcterms:W3CDTF">2022-02-08T08:27:00Z</dcterms:created>
  <dcterms:modified xsi:type="dcterms:W3CDTF">2024-01-21T13:31:00Z</dcterms:modified>
  <dc:language>en-GB</dc:language>
</cp:coreProperties>
</file>