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A5B" w:rsidRPr="009F5423" w:rsidRDefault="00A127E5">
      <w:pPr>
        <w:pStyle w:val="LO-normal"/>
        <w:jc w:val="center"/>
        <w:rPr>
          <w:noProof/>
          <w:lang w:val="sr-Cyrl-RS"/>
        </w:rPr>
      </w:pPr>
      <w:r w:rsidRPr="00337506">
        <w:rPr>
          <w:rFonts w:ascii="Times New Roman" w:eastAsia="Times New Roman" w:hAnsi="Times New Roman" w:cs="Times New Roman"/>
          <w:b/>
          <w:noProof/>
        </w:rPr>
        <w:t>Табела 5.2.</w:t>
      </w:r>
      <w:r w:rsidRPr="00337506">
        <w:rPr>
          <w:rFonts w:ascii="Times New Roman" w:eastAsia="Times New Roman" w:hAnsi="Times New Roman" w:cs="Times New Roman"/>
          <w:noProof/>
        </w:rPr>
        <w:t xml:space="preserve"> Спецификација предмета </w:t>
      </w:r>
      <w:r w:rsidRPr="00337506">
        <w:rPr>
          <w:rFonts w:ascii="Times New Roman" w:eastAsia="Times New Roman" w:hAnsi="Times New Roman" w:cs="Times New Roman"/>
          <w:b/>
          <w:i/>
          <w:noProof/>
        </w:rPr>
        <w:t>Реторика и култура јавног дискурса</w:t>
      </w:r>
      <w:r w:rsidR="009F5423">
        <w:rPr>
          <w:rFonts w:ascii="Times New Roman" w:eastAsia="Times New Roman" w:hAnsi="Times New Roman" w:cs="Times New Roman"/>
          <w:b/>
          <w:i/>
          <w:noProof/>
          <w:lang w:val="sr-Cyrl-RS"/>
        </w:rPr>
        <w:t xml:space="preserve"> у антици</w:t>
      </w:r>
    </w:p>
    <w:tbl>
      <w:tblPr>
        <w:tblW w:w="10716" w:type="dxa"/>
        <w:tblInd w:w="57" w:type="dxa"/>
        <w:tblLook w:val="0000" w:firstRow="0" w:lastRow="0" w:firstColumn="0" w:lastColumn="0" w:noHBand="0" w:noVBand="0"/>
      </w:tblPr>
      <w:tblGrid>
        <w:gridCol w:w="3708"/>
        <w:gridCol w:w="1944"/>
        <w:gridCol w:w="1164"/>
        <w:gridCol w:w="2016"/>
        <w:gridCol w:w="1884"/>
      </w:tblGrid>
      <w:tr w:rsidR="005A0A5B" w:rsidRPr="00C65FC8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9E601E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9E601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Студијски програм: </w:t>
            </w:r>
            <w:r w:rsidRPr="009E60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МАС</w:t>
            </w:r>
            <w:r w:rsidRPr="009E601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 </w:t>
            </w:r>
            <w:r w:rsidR="008C44C7" w:rsidRPr="009E60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античка култура и класично наслеђе</w:t>
            </w:r>
          </w:p>
        </w:tc>
      </w:tr>
      <w:tr w:rsidR="005A0A5B" w:rsidRPr="00C65FC8" w:rsidTr="009F5423">
        <w:trPr>
          <w:trHeight w:val="251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9F5423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val="sr-Cyrl-RS"/>
              </w:rPr>
            </w:pPr>
            <w:r w:rsidRPr="009E601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 xml:space="preserve">Назив предмета: </w:t>
            </w:r>
            <w:r w:rsidRPr="009E601E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val="sr-Cyrl-RS"/>
              </w:rPr>
              <w:t>Реторика и култура јавног дискурса</w:t>
            </w:r>
            <w:r w:rsidR="009F5423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val="sr-Cyrl-RS"/>
              </w:rPr>
              <w:t xml:space="preserve"> у антици</w:t>
            </w:r>
          </w:p>
        </w:tc>
      </w:tr>
      <w:tr w:rsidR="005A0A5B" w:rsidRPr="00C65FC8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AD52BB" w:rsidRDefault="00A127E5" w:rsidP="00C65FC8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RS"/>
              </w:rPr>
            </w:pPr>
            <w:r w:rsidRPr="009E601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sr-Cyrl-RS"/>
              </w:rPr>
              <w:t>Наставник/наставници:</w:t>
            </w:r>
            <w:r w:rsidR="00745B4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RS"/>
              </w:rPr>
              <w:t xml:space="preserve"> </w:t>
            </w:r>
            <w:r w:rsidR="00745B47" w:rsidRPr="009E60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проф. др Борис Пендељ</w:t>
            </w:r>
            <w:r w:rsidR="00C65FC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,</w:t>
            </w:r>
            <w:r w:rsidR="00C65FC8" w:rsidRPr="009E60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 xml:space="preserve"> </w:t>
            </w:r>
            <w:r w:rsidR="00C65FC8" w:rsidRPr="009E60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проф. др Драгана Димитријевић, доц. др Душан Поповић</w:t>
            </w:r>
            <w:bookmarkStart w:id="0" w:name="_GoBack"/>
            <w:bookmarkEnd w:id="0"/>
          </w:p>
        </w:tc>
      </w:tr>
      <w:tr w:rsidR="005A0A5B" w:rsidRPr="00337506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Статус предмета: 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изборан</w:t>
            </w:r>
          </w:p>
        </w:tc>
      </w:tr>
      <w:tr w:rsidR="005A0A5B" w:rsidRPr="00337506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Број ЕСПБ: 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5</w:t>
            </w:r>
          </w:p>
        </w:tc>
      </w:tr>
      <w:tr w:rsidR="005A0A5B" w:rsidRPr="00337506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Циљ предмета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Стицање основних знања о античкој реторици и њеној традицији у потоњим вековима, са посебним акцентом на сталним елементима јавног дискурса, који су остали готово непромењени од антике до данас; схватање улоге реторике у јавном дискурсу и способност да се о њој дискутује.</w:t>
            </w:r>
          </w:p>
        </w:tc>
      </w:tr>
      <w:tr w:rsidR="005A0A5B" w:rsidRPr="00337506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Исход предмета 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Студенти имају основна знања о реторици и њеној улози у оквиру јавног дискурса, од антике до данас. Студенти су у стању да аргументовано дискутују о различитим елементима беседничке уметности, уочавајући њихов дијахронијски континуитет.</w:t>
            </w:r>
          </w:p>
        </w:tc>
      </w:tr>
      <w:tr w:rsidR="005A0A5B" w:rsidRPr="00337506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Садржај предмета</w:t>
            </w:r>
          </w:p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  <w:t xml:space="preserve">Теоријска настава. </w:t>
            </w: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1.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Амбивалентна вредност беседе у самом зачетку теоријског промишљања о њој: улога убеђивања у Горгијиној </w:t>
            </w:r>
            <w:r w:rsidRPr="00337506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  <w:t>Похвали Хелени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, софистичка релативизација истине и Платонова реакција на њу. — </w:t>
            </w: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2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. Периклова </w:t>
            </w:r>
            <w:r w:rsidRPr="00337506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  <w:t>Надгробна беседа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код Тукидида као пример практичне примене реторике у контексту погребног обреда у Атини класичног периода: објашњење значења, симболâ, функција и адресатâ ове гране беседништва. —</w:t>
            </w: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 3. 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Употреба реторске </w:t>
            </w:r>
            <w:r w:rsidRPr="00337506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  <w:t>хрије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у циљу исказивања философских уверења: киничари користе мешавину збиље и хумора (σπουδογέλοιον) како би исмејали богаташе, моћнике и послушнике. — </w:t>
            </w: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4. 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Римска реторска теорија: анонимни приручник </w:t>
            </w:r>
            <w:r w:rsidRPr="00337506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  <w:t>Rhetorica ad Herennium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, Цицеронов дијалог </w:t>
            </w:r>
            <w:r w:rsidRPr="00337506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  <w:t>De Oratore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, Квинтилијанов уџбеник </w:t>
            </w:r>
            <w:r w:rsidRPr="00337506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  <w:t>Institutio Oratoria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. — </w:t>
            </w: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5.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Цицеронове беседе против Марка Антонија као врхунац римског републиканског беседништва. — </w:t>
            </w: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6.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Политика и пропаганда у латинским панегирицима из збирке </w:t>
            </w:r>
            <w:r w:rsidRPr="00337506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  <w:t>XII Panegyrici Latini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. — </w:t>
            </w: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7. 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Препород реторике  у списима и деловању хуманиста: залагање за снажну изражајност речи (verba) и остварење људске личности кроз говор (sermo) код шпанског хуманисте Х. Л. Вивеса. — </w:t>
            </w: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8.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Значај реторике за образовање у ренесанси, првенствено код Еразма Ротердамског: наставак античког начела о недељивости говора и писања. — </w:t>
            </w: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9. 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Философска и морална питања у језуитској реторичкој традицији, тзв. ioco-seria: парадокс  и промишљање о узалудности људског сазнања на шаљив начин. —</w:t>
            </w: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 10. 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Реторика у служби борбе за људска и грађанска права (Томас Мор, Џон Адамс, Жан Жак Дантон, Елизабет Стентон). — </w:t>
            </w: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11. 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Политичко беседништво у XX и XXI веку. — </w:t>
            </w: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12.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Најлепше беседе српскога језика (Свети Сава, Доситеј Обрадовић, Матија Бећковић).</w:t>
            </w:r>
          </w:p>
          <w:p w:rsidR="005A0A5B" w:rsidRPr="00337506" w:rsidRDefault="005A0A5B" w:rsidP="00E116D2">
            <w:pPr>
              <w:pStyle w:val="LO-normal"/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  <w:t>Практична настава.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Студенти читају одабране одломке из репрезент</w:t>
            </w:r>
            <w:r w:rsidR="00AB5034"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a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тивних узорака беседничке уметности и аргументовано дискутују о њима.</w:t>
            </w:r>
          </w:p>
        </w:tc>
      </w:tr>
      <w:tr w:rsidR="005A0A5B" w:rsidRPr="00337506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9E601E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fr-CA"/>
              </w:rPr>
            </w:pP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Литература</w:t>
            </w:r>
            <w:r w:rsidRPr="009E601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fr-CA"/>
              </w:rPr>
              <w:t xml:space="preserve"> </w:t>
            </w:r>
          </w:p>
          <w:p w:rsidR="005A0A5B" w:rsidRPr="009E601E" w:rsidRDefault="00A127E5">
            <w:pPr>
              <w:pStyle w:val="LO-normal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fr-CA"/>
              </w:rPr>
            </w:pPr>
            <w:r w:rsidRPr="009E60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fr-CA"/>
              </w:rPr>
              <w:t xml:space="preserve">Blanchard, J.-V. </w:t>
            </w:r>
            <w:r w:rsidRPr="009E601E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  <w:lang w:val="fr-CA"/>
              </w:rPr>
              <w:t>L'optique du discours au XVIIe siècle</w:t>
            </w:r>
            <w:r w:rsidRPr="009E60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fr-CA"/>
              </w:rPr>
              <w:t>, Laval 2005</w:t>
            </w:r>
            <w:r w:rsidR="0039248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fr-CA"/>
              </w:rPr>
              <w:t>, 13-98</w:t>
            </w:r>
            <w:r w:rsidRPr="009E60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fr-CA"/>
              </w:rPr>
              <w:t xml:space="preserve">. </w:t>
            </w:r>
          </w:p>
          <w:p w:rsidR="005A0A5B" w:rsidRPr="00337506" w:rsidRDefault="00A127E5">
            <w:pPr>
              <w:pStyle w:val="LO-normal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Connors, R. J., Ede, L. S., Lunsford, A. A. (eds.) </w:t>
            </w:r>
            <w:r w:rsidRPr="00337506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  <w:t>Essays on Classical Rhetoric and Modern Discourse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, Carbondale – Edwardsville 1984</w:t>
            </w:r>
            <w:r w:rsidR="0039248F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, 37-44, 98-114, 127-151, 193-202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.</w:t>
            </w:r>
          </w:p>
          <w:p w:rsidR="005A0A5B" w:rsidRPr="00337506" w:rsidRDefault="00A127E5">
            <w:pPr>
              <w:pStyle w:val="LO-normal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Corbett, E. P. J. </w:t>
            </w:r>
            <w:r w:rsidRPr="00337506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  <w:t>Classical Rhetoric for the Modern Student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, Oxford - New York 1965</w:t>
            </w:r>
            <w:r w:rsidR="0039248F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, 1-150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.</w:t>
            </w:r>
          </w:p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Vickers, B. </w:t>
            </w:r>
            <w:r w:rsidRPr="00337506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  <w:t>In Defence of Rhetoric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, Oxford - New York 1988</w:t>
            </w:r>
            <w:r w:rsidR="0039248F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, 1-150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.</w:t>
            </w:r>
          </w:p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***</w:t>
            </w:r>
          </w:p>
          <w:p w:rsidR="005A0A5B" w:rsidRPr="00337506" w:rsidRDefault="00A127E5">
            <w:pPr>
              <w:pStyle w:val="LO-normal"/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Димитријевић, Д. „Аутоцитати у Цицероновим беседама”, </w:t>
            </w:r>
            <w:r w:rsidRPr="00337506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  <w:t>Studia Classica Serdicensia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1 (2010), 269</w:t>
            </w:r>
            <w:r w:rsidR="00E116D2"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–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277.</w:t>
            </w:r>
            <w:r w:rsidRPr="00337506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  <w:t xml:space="preserve"> </w:t>
            </w:r>
          </w:p>
          <w:p w:rsidR="005A0A5B" w:rsidRPr="00337506" w:rsidRDefault="00A127E5">
            <w:pPr>
              <w:pStyle w:val="LO-normal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Поповић, Д. </w:t>
            </w:r>
            <w:r w:rsidRPr="00337506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  <w:t>Хермогенове и Присцијанове припремне вежбе за беседнике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, Београд 2007</w:t>
            </w:r>
            <w:r w:rsidR="0039248F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, 5-28, 77-108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.</w:t>
            </w:r>
          </w:p>
        </w:tc>
      </w:tr>
      <w:tr w:rsidR="005A0A5B" w:rsidRPr="00337506">
        <w:trPr>
          <w:trHeight w:val="22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Број часова  активне наставе</w:t>
            </w:r>
          </w:p>
        </w:tc>
        <w:tc>
          <w:tcPr>
            <w:tcW w:w="3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Теоријска настава: 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Практична настава: 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</w:tr>
      <w:tr w:rsidR="005A0A5B" w:rsidRPr="00337506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Методе извођења наставе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предавања, семинари, дискусије, групни рад, презентације.</w:t>
            </w:r>
          </w:p>
        </w:tc>
      </w:tr>
      <w:tr w:rsidR="005A0A5B" w:rsidRPr="00337506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5A0A5B" w:rsidRPr="00337506">
        <w:trPr>
          <w:trHeight w:val="22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Предиспитне обавезе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поена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поена</w:t>
            </w:r>
          </w:p>
        </w:tc>
      </w:tr>
      <w:tr w:rsidR="005A0A5B" w:rsidRPr="00337506">
        <w:trPr>
          <w:trHeight w:val="22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писмени испит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5A0A5B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5A0A5B" w:rsidRPr="00337506">
        <w:trPr>
          <w:trHeight w:val="22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практична настава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5A0A5B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усмени исп</w:t>
            </w:r>
            <w:r w:rsidR="00A942D7"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и</w:t>
            </w: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т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60</w:t>
            </w:r>
          </w:p>
        </w:tc>
      </w:tr>
      <w:tr w:rsidR="005A0A5B" w:rsidRPr="00337506">
        <w:trPr>
          <w:trHeight w:val="22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колоквијум-и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5A0A5B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5A0A5B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5A0A5B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5A0A5B" w:rsidRPr="00AB5034">
        <w:trPr>
          <w:trHeight w:val="227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337506" w:rsidRDefault="00A127E5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семинар-и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AB5034" w:rsidRDefault="00A127E5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33750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AB5034" w:rsidRDefault="005A0A5B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0A5B" w:rsidRPr="00AB5034" w:rsidRDefault="005A0A5B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:rsidR="005A0A5B" w:rsidRPr="00AB5034" w:rsidRDefault="005A0A5B">
      <w:pPr>
        <w:pStyle w:val="LO-normal"/>
        <w:rPr>
          <w:noProof/>
        </w:rPr>
      </w:pPr>
    </w:p>
    <w:sectPr w:rsidR="005A0A5B" w:rsidRPr="00AB5034">
      <w:pgSz w:w="11906" w:h="16838"/>
      <w:pgMar w:top="567" w:right="567" w:bottom="567" w:left="567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A0A5B"/>
    <w:rsid w:val="00337506"/>
    <w:rsid w:val="0039248F"/>
    <w:rsid w:val="00407FE7"/>
    <w:rsid w:val="00536C7D"/>
    <w:rsid w:val="005A0A5B"/>
    <w:rsid w:val="00745B47"/>
    <w:rsid w:val="008C44C7"/>
    <w:rsid w:val="009E601E"/>
    <w:rsid w:val="009F5423"/>
    <w:rsid w:val="00A127E5"/>
    <w:rsid w:val="00A942D7"/>
    <w:rsid w:val="00AB5034"/>
    <w:rsid w:val="00AD52BB"/>
    <w:rsid w:val="00C65FC8"/>
    <w:rsid w:val="00E000CF"/>
    <w:rsid w:val="00E1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7</cp:revision>
  <dcterms:created xsi:type="dcterms:W3CDTF">2024-01-18T02:50:00Z</dcterms:created>
  <dcterms:modified xsi:type="dcterms:W3CDTF">2024-01-22T19:28:00Z</dcterms:modified>
  <dc:language>en-GB</dc:language>
</cp:coreProperties>
</file>